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7F0" w:rsidRDefault="003B77F0">
      <w:pPr>
        <w:tabs>
          <w:tab w:val="center" w:pos="4680"/>
        </w:tabs>
        <w:suppressAutoHyphens/>
        <w:jc w:val="center"/>
        <w:rPr>
          <w:rFonts w:ascii="Times New Roman" w:hAnsi="Times New Roman"/>
          <w:b/>
          <w:spacing w:val="-3"/>
        </w:rPr>
      </w:pPr>
      <w:r>
        <w:rPr>
          <w:rFonts w:ascii="Times New Roman" w:hAnsi="Times New Roman"/>
          <w:b/>
          <w:spacing w:val="-3"/>
        </w:rPr>
        <w:t>CITY OF BILOXI</w:t>
      </w:r>
      <w:r>
        <w:rPr>
          <w:rFonts w:ascii="Times New Roman" w:hAnsi="Times New Roman"/>
          <w:b/>
          <w:spacing w:val="-3"/>
        </w:rPr>
        <w:fldChar w:fldCharType="begin"/>
      </w:r>
      <w:r>
        <w:rPr>
          <w:rFonts w:ascii="Times New Roman" w:hAnsi="Times New Roman"/>
          <w:b/>
          <w:spacing w:val="-3"/>
        </w:rPr>
        <w:instrText xml:space="preserve">PRIVATE </w:instrText>
      </w:r>
      <w:r>
        <w:rPr>
          <w:rFonts w:ascii="Times New Roman" w:hAnsi="Times New Roman"/>
          <w:b/>
          <w:spacing w:val="-3"/>
        </w:rPr>
        <w:fldChar w:fldCharType="end"/>
      </w:r>
    </w:p>
    <w:p w:rsidR="003B77F0" w:rsidRDefault="003B77F0">
      <w:pPr>
        <w:tabs>
          <w:tab w:val="left" w:pos="-720"/>
        </w:tabs>
        <w:suppressAutoHyphens/>
        <w:jc w:val="both"/>
        <w:rPr>
          <w:rFonts w:ascii="Times New Roman" w:hAnsi="Times New Roman"/>
          <w:b/>
          <w:spacing w:val="-3"/>
        </w:rPr>
      </w:pPr>
    </w:p>
    <w:p w:rsidR="003B77F0" w:rsidRDefault="003B77F0">
      <w:pPr>
        <w:tabs>
          <w:tab w:val="left" w:pos="-720"/>
        </w:tabs>
        <w:suppressAutoHyphens/>
        <w:jc w:val="both"/>
        <w:rPr>
          <w:rFonts w:ascii="Times New Roman" w:hAnsi="Times New Roman"/>
          <w:b/>
          <w:spacing w:val="-3"/>
        </w:rPr>
      </w:pPr>
      <w:r>
        <w:rPr>
          <w:rFonts w:ascii="Times New Roman" w:hAnsi="Times New Roman"/>
          <w:b/>
          <w:spacing w:val="-3"/>
        </w:rPr>
        <w:t>SPECIAL PROVISION NO. 907-609-1                                                                       CODE</w:t>
      </w:r>
      <w:proofErr w:type="gramStart"/>
      <w:r>
        <w:rPr>
          <w:rFonts w:ascii="Times New Roman" w:hAnsi="Times New Roman"/>
          <w:b/>
          <w:spacing w:val="-3"/>
        </w:rPr>
        <w:t>:  (</w:t>
      </w:r>
      <w:proofErr w:type="gramEnd"/>
      <w:r>
        <w:rPr>
          <w:rFonts w:ascii="Times New Roman" w:hAnsi="Times New Roman"/>
          <w:b/>
          <w:spacing w:val="-3"/>
        </w:rPr>
        <w:t>SP)</w:t>
      </w:r>
    </w:p>
    <w:p w:rsidR="003B77F0" w:rsidRDefault="003B77F0">
      <w:pPr>
        <w:tabs>
          <w:tab w:val="left" w:pos="-720"/>
        </w:tabs>
        <w:suppressAutoHyphens/>
        <w:jc w:val="both"/>
        <w:rPr>
          <w:rFonts w:ascii="Times New Roman" w:hAnsi="Times New Roman"/>
          <w:b/>
          <w:spacing w:val="-3"/>
        </w:rPr>
      </w:pPr>
    </w:p>
    <w:p w:rsidR="003B77F0" w:rsidRDefault="003B77F0">
      <w:pPr>
        <w:tabs>
          <w:tab w:val="left" w:pos="-720"/>
        </w:tabs>
        <w:suppressAutoHyphens/>
        <w:jc w:val="both"/>
        <w:rPr>
          <w:rFonts w:ascii="Times New Roman" w:hAnsi="Times New Roman"/>
          <w:b/>
          <w:spacing w:val="-3"/>
        </w:rPr>
      </w:pPr>
      <w:r>
        <w:rPr>
          <w:rFonts w:ascii="Times New Roman" w:hAnsi="Times New Roman"/>
          <w:b/>
          <w:spacing w:val="-3"/>
        </w:rPr>
        <w:t xml:space="preserve">DATE:  </w:t>
      </w:r>
      <w:r w:rsidR="00E2409B">
        <w:rPr>
          <w:rFonts w:ascii="Times New Roman" w:hAnsi="Times New Roman"/>
          <w:b/>
          <w:spacing w:val="-3"/>
        </w:rPr>
        <w:t>06</w:t>
      </w:r>
      <w:r w:rsidR="00FF0F35">
        <w:rPr>
          <w:rFonts w:ascii="Times New Roman" w:hAnsi="Times New Roman"/>
          <w:b/>
          <w:spacing w:val="-3"/>
        </w:rPr>
        <w:t>/2</w:t>
      </w:r>
      <w:r w:rsidR="00E2409B">
        <w:rPr>
          <w:rFonts w:ascii="Times New Roman" w:hAnsi="Times New Roman"/>
          <w:b/>
          <w:spacing w:val="-3"/>
        </w:rPr>
        <w:t>9</w:t>
      </w:r>
      <w:r w:rsidR="00FF0F35">
        <w:rPr>
          <w:rFonts w:ascii="Times New Roman" w:hAnsi="Times New Roman"/>
          <w:b/>
          <w:spacing w:val="-3"/>
        </w:rPr>
        <w:t>/201</w:t>
      </w:r>
      <w:r w:rsidR="00E2409B">
        <w:rPr>
          <w:rFonts w:ascii="Times New Roman" w:hAnsi="Times New Roman"/>
          <w:b/>
          <w:spacing w:val="-3"/>
        </w:rPr>
        <w:t>7</w:t>
      </w:r>
    </w:p>
    <w:p w:rsidR="003B77F0" w:rsidRDefault="003B77F0">
      <w:pPr>
        <w:tabs>
          <w:tab w:val="left" w:pos="-720"/>
        </w:tabs>
        <w:suppressAutoHyphens/>
        <w:jc w:val="both"/>
        <w:rPr>
          <w:rFonts w:ascii="Times New Roman" w:hAnsi="Times New Roman"/>
          <w:b/>
          <w:spacing w:val="-3"/>
        </w:rPr>
      </w:pPr>
    </w:p>
    <w:p w:rsidR="003B77F0" w:rsidRDefault="003B77F0" w:rsidP="00E2409B">
      <w:pPr>
        <w:tabs>
          <w:tab w:val="left" w:pos="-720"/>
        </w:tabs>
        <w:suppressAutoHyphens/>
        <w:jc w:val="center"/>
        <w:rPr>
          <w:rFonts w:ascii="Times New Roman" w:hAnsi="Times New Roman"/>
          <w:b/>
          <w:spacing w:val="-3"/>
        </w:rPr>
      </w:pPr>
      <w:r>
        <w:rPr>
          <w:rFonts w:ascii="Times New Roman" w:hAnsi="Times New Roman"/>
          <w:b/>
          <w:spacing w:val="-3"/>
        </w:rPr>
        <w:t>SECTION 609 - CONCRETE GUTTER, CURB, AND COMBINATION CURB AND</w:t>
      </w:r>
    </w:p>
    <w:p w:rsidR="003B77F0" w:rsidRDefault="003B77F0" w:rsidP="00E2409B">
      <w:pPr>
        <w:tabs>
          <w:tab w:val="left" w:pos="-720"/>
        </w:tabs>
        <w:suppressAutoHyphens/>
        <w:jc w:val="center"/>
        <w:rPr>
          <w:rFonts w:ascii="Times New Roman" w:hAnsi="Times New Roman"/>
          <w:b/>
          <w:spacing w:val="-3"/>
        </w:rPr>
      </w:pPr>
      <w:r>
        <w:rPr>
          <w:rFonts w:ascii="Times New Roman" w:hAnsi="Times New Roman"/>
          <w:b/>
          <w:spacing w:val="-3"/>
        </w:rPr>
        <w:t>GUTTER</w:t>
      </w:r>
    </w:p>
    <w:p w:rsidR="003B77F0" w:rsidRDefault="003B77F0">
      <w:pPr>
        <w:tabs>
          <w:tab w:val="left" w:pos="-720"/>
        </w:tabs>
        <w:suppressAutoHyphens/>
        <w:jc w:val="both"/>
        <w:rPr>
          <w:rFonts w:ascii="Times New Roman" w:hAnsi="Times New Roman"/>
          <w:spacing w:val="-3"/>
        </w:rPr>
      </w:pPr>
    </w:p>
    <w:p w:rsidR="003B77F0" w:rsidRDefault="003B77F0">
      <w:pPr>
        <w:pStyle w:val="Heading1"/>
      </w:pPr>
      <w:r>
        <w:t>Subsection 609.02 - Materials</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s>
        <w:suppressAutoHyphens/>
        <w:ind w:left="720"/>
        <w:jc w:val="both"/>
        <w:rPr>
          <w:rFonts w:ascii="Times New Roman" w:hAnsi="Times New Roman"/>
          <w:spacing w:val="-3"/>
        </w:rPr>
      </w:pPr>
      <w:r>
        <w:rPr>
          <w:rFonts w:ascii="Times New Roman" w:hAnsi="Times New Roman"/>
          <w:spacing w:val="-3"/>
        </w:rPr>
        <w:t>Add the following sentence to the end of the first paragraph of Subsection 609.02:</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s>
        <w:suppressAutoHyphens/>
        <w:ind w:left="1440"/>
        <w:jc w:val="both"/>
        <w:rPr>
          <w:rFonts w:ascii="Times New Roman" w:hAnsi="Times New Roman"/>
          <w:spacing w:val="-3"/>
        </w:rPr>
      </w:pPr>
      <w:r>
        <w:rPr>
          <w:rFonts w:ascii="Times New Roman" w:hAnsi="Times New Roman"/>
          <w:spacing w:val="-3"/>
        </w:rPr>
        <w:t>Concrete used for curb, gutter, rolled type curb and gutter and combination curb and gutter shall be Class “B” (3000 psi).</w:t>
      </w:r>
    </w:p>
    <w:p w:rsidR="003B77F0" w:rsidRDefault="003B77F0">
      <w:pPr>
        <w:tabs>
          <w:tab w:val="left" w:pos="-720"/>
        </w:tabs>
        <w:suppressAutoHyphens/>
        <w:ind w:left="1440"/>
        <w:jc w:val="both"/>
        <w:rPr>
          <w:rFonts w:ascii="Times New Roman" w:hAnsi="Times New Roman"/>
          <w:spacing w:val="-3"/>
        </w:rPr>
      </w:pPr>
    </w:p>
    <w:p w:rsidR="003B77F0" w:rsidRDefault="003B77F0">
      <w:pPr>
        <w:pStyle w:val="Heading1"/>
      </w:pPr>
      <w:r>
        <w:t>Subsection 609.03.1 - Excavation and In-Grade Preparation</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s>
        <w:suppressAutoHyphens/>
        <w:ind w:left="720"/>
        <w:jc w:val="both"/>
        <w:rPr>
          <w:rFonts w:ascii="Times New Roman" w:hAnsi="Times New Roman"/>
          <w:spacing w:val="-3"/>
        </w:rPr>
      </w:pPr>
      <w:r>
        <w:rPr>
          <w:rFonts w:ascii="Times New Roman" w:hAnsi="Times New Roman"/>
          <w:spacing w:val="-3"/>
        </w:rPr>
        <w:t>After the last paragraph of Subsection 609.03.1 add the following paragraph:</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s>
        <w:suppressAutoHyphens/>
        <w:ind w:left="1440"/>
        <w:jc w:val="both"/>
        <w:rPr>
          <w:rFonts w:ascii="Times New Roman" w:hAnsi="Times New Roman"/>
          <w:spacing w:val="-3"/>
        </w:rPr>
      </w:pPr>
      <w:r>
        <w:rPr>
          <w:rFonts w:ascii="Times New Roman" w:hAnsi="Times New Roman"/>
          <w:spacing w:val="-3"/>
        </w:rPr>
        <w:t>The material under all curb and gutter shall be compacted in 6 to 8 inch lifts to 95% density in accordance with ASTM D 1557.</w:t>
      </w:r>
    </w:p>
    <w:p w:rsidR="003B77F0" w:rsidRDefault="003B77F0">
      <w:pPr>
        <w:tabs>
          <w:tab w:val="left" w:pos="-720"/>
        </w:tabs>
        <w:suppressAutoHyphens/>
        <w:ind w:left="1440"/>
        <w:jc w:val="both"/>
        <w:rPr>
          <w:rFonts w:ascii="Times New Roman" w:hAnsi="Times New Roman"/>
          <w:spacing w:val="-3"/>
        </w:rPr>
      </w:pPr>
    </w:p>
    <w:p w:rsidR="003B77F0" w:rsidRDefault="003B77F0">
      <w:pPr>
        <w:pStyle w:val="Heading1"/>
      </w:pPr>
      <w:r>
        <w:t>Subsection 609.03.2.</w:t>
      </w:r>
      <w:r w:rsidR="00A50DBE">
        <w:t>4</w:t>
      </w:r>
      <w:r>
        <w:t xml:space="preserve"> - Sections and Joints</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s>
        <w:suppressAutoHyphens/>
        <w:ind w:left="720"/>
        <w:jc w:val="both"/>
        <w:rPr>
          <w:rFonts w:ascii="Times New Roman" w:hAnsi="Times New Roman"/>
          <w:spacing w:val="-3"/>
        </w:rPr>
      </w:pPr>
      <w:r>
        <w:rPr>
          <w:rFonts w:ascii="Times New Roman" w:hAnsi="Times New Roman"/>
          <w:spacing w:val="-3"/>
        </w:rPr>
        <w:t>After the last paragraph of Subsection 609.03.2.</w:t>
      </w:r>
      <w:r w:rsidR="00A50DBE">
        <w:rPr>
          <w:rFonts w:ascii="Times New Roman" w:hAnsi="Times New Roman"/>
          <w:spacing w:val="-3"/>
        </w:rPr>
        <w:t>4</w:t>
      </w:r>
      <w:bookmarkStart w:id="0" w:name="_GoBack"/>
      <w:bookmarkEnd w:id="0"/>
      <w:r>
        <w:rPr>
          <w:rFonts w:ascii="Times New Roman" w:hAnsi="Times New Roman"/>
          <w:spacing w:val="-3"/>
        </w:rPr>
        <w:t xml:space="preserve"> add the following paragraph:</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s>
        <w:suppressAutoHyphens/>
        <w:ind w:left="1440"/>
        <w:jc w:val="both"/>
        <w:rPr>
          <w:rFonts w:ascii="Times New Roman" w:hAnsi="Times New Roman"/>
          <w:spacing w:val="-3"/>
        </w:rPr>
      </w:pPr>
      <w:r>
        <w:rPr>
          <w:rFonts w:ascii="Times New Roman" w:hAnsi="Times New Roman"/>
          <w:spacing w:val="-3"/>
        </w:rPr>
        <w:t>Expansion joints shall be installed at thirty</w:t>
      </w:r>
      <w:r w:rsidR="0057062D">
        <w:rPr>
          <w:rFonts w:ascii="Times New Roman" w:hAnsi="Times New Roman"/>
          <w:spacing w:val="-3"/>
        </w:rPr>
        <w:t xml:space="preserve"> </w:t>
      </w:r>
      <w:r>
        <w:rPr>
          <w:rFonts w:ascii="Times New Roman" w:hAnsi="Times New Roman"/>
          <w:spacing w:val="-3"/>
        </w:rPr>
        <w:t>foot (30’) intervals and contraction joints provided at ten</w:t>
      </w:r>
      <w:r w:rsidR="0057062D">
        <w:rPr>
          <w:rFonts w:ascii="Times New Roman" w:hAnsi="Times New Roman"/>
          <w:spacing w:val="-3"/>
        </w:rPr>
        <w:t xml:space="preserve"> </w:t>
      </w:r>
      <w:r>
        <w:rPr>
          <w:rFonts w:ascii="Times New Roman" w:hAnsi="Times New Roman"/>
          <w:spacing w:val="-3"/>
        </w:rPr>
        <w:t>foot (10’) intervals.</w:t>
      </w:r>
    </w:p>
    <w:p w:rsidR="003B77F0" w:rsidRDefault="003B77F0">
      <w:pPr>
        <w:tabs>
          <w:tab w:val="left" w:pos="-720"/>
        </w:tabs>
        <w:suppressAutoHyphens/>
        <w:ind w:left="1440"/>
        <w:jc w:val="both"/>
        <w:rPr>
          <w:rFonts w:ascii="Times New Roman" w:hAnsi="Times New Roman"/>
          <w:spacing w:val="-3"/>
        </w:rPr>
      </w:pPr>
    </w:p>
    <w:p w:rsidR="003B77F0" w:rsidRDefault="003B77F0">
      <w:pPr>
        <w:pStyle w:val="Heading1"/>
      </w:pPr>
      <w:r>
        <w:t>Subsection 609.03.2.5 - Finishing</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 w:val="left" w:pos="0"/>
        </w:tabs>
        <w:suppressAutoHyphens/>
        <w:ind w:left="720"/>
        <w:jc w:val="both"/>
        <w:rPr>
          <w:rFonts w:ascii="Times New Roman" w:hAnsi="Times New Roman"/>
          <w:spacing w:val="-3"/>
        </w:rPr>
      </w:pPr>
      <w:r>
        <w:rPr>
          <w:rFonts w:ascii="Times New Roman" w:hAnsi="Times New Roman"/>
          <w:spacing w:val="-3"/>
        </w:rPr>
        <w:t>After the last paragraph of Subsection 609.03.2.5 add the following paragraph:</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 w:val="left" w:pos="0"/>
          <w:tab w:val="left" w:pos="720"/>
        </w:tabs>
        <w:suppressAutoHyphens/>
        <w:ind w:left="1440" w:hanging="1440"/>
        <w:jc w:val="both"/>
        <w:rPr>
          <w:rFonts w:ascii="Times New Roman" w:hAnsi="Times New Roman"/>
          <w:spacing w:val="-3"/>
        </w:rPr>
      </w:pPr>
      <w:r>
        <w:rPr>
          <w:rFonts w:ascii="Times New Roman" w:hAnsi="Times New Roman"/>
          <w:spacing w:val="-3"/>
        </w:rPr>
        <w:tab/>
      </w:r>
      <w:r>
        <w:rPr>
          <w:rFonts w:ascii="Times New Roman" w:hAnsi="Times New Roman"/>
          <w:spacing w:val="-3"/>
        </w:rPr>
        <w:tab/>
        <w:t xml:space="preserve">The Contractor shall mark the face of the curb with an "S" or "W" stamped into the wet concrete where the curb is finished over a sewer or water service.  </w:t>
      </w:r>
      <w:proofErr w:type="gramStart"/>
      <w:r>
        <w:rPr>
          <w:rFonts w:ascii="Times New Roman" w:hAnsi="Times New Roman"/>
          <w:spacing w:val="-3"/>
        </w:rPr>
        <w:t>Also</w:t>
      </w:r>
      <w:proofErr w:type="gramEnd"/>
      <w:r>
        <w:rPr>
          <w:rFonts w:ascii="Times New Roman" w:hAnsi="Times New Roman"/>
          <w:spacing w:val="-3"/>
        </w:rPr>
        <w:t xml:space="preserve"> the curb shall be mark</w:t>
      </w:r>
      <w:r w:rsidR="00E2409B">
        <w:rPr>
          <w:rFonts w:ascii="Times New Roman" w:hAnsi="Times New Roman"/>
          <w:spacing w:val="-3"/>
        </w:rPr>
        <w:t>ed</w:t>
      </w:r>
      <w:r>
        <w:rPr>
          <w:rFonts w:ascii="Times New Roman" w:hAnsi="Times New Roman"/>
          <w:spacing w:val="-3"/>
        </w:rPr>
        <w:t xml:space="preserve"> with a “V” where the curb(s) is adjacent to a water valve.  The marking in the curb shall be legible.  The letters shall be an overall height of 3 inches and shall be embedded into the concrete a minimum depth of one-half inch and a maximum depth of one inch.  The stamping tool shall be subject to approval by the City Engineer or his authorized representative.</w:t>
      </w:r>
    </w:p>
    <w:p w:rsidR="003B77F0" w:rsidRDefault="003B77F0">
      <w:pPr>
        <w:tabs>
          <w:tab w:val="left" w:pos="-720"/>
        </w:tabs>
        <w:suppressAutoHyphens/>
        <w:ind w:left="1440"/>
        <w:jc w:val="both"/>
        <w:rPr>
          <w:rFonts w:ascii="Times New Roman" w:hAnsi="Times New Roman"/>
          <w:spacing w:val="-3"/>
        </w:rPr>
      </w:pPr>
    </w:p>
    <w:p w:rsidR="003B77F0" w:rsidRDefault="003B77F0">
      <w:pPr>
        <w:pStyle w:val="Heading1"/>
      </w:pPr>
      <w:r>
        <w:t>Subsection 609.03.2.6 - Protection and Curing</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 w:val="left" w:pos="0"/>
        </w:tabs>
        <w:suppressAutoHyphens/>
        <w:ind w:left="720"/>
        <w:jc w:val="both"/>
        <w:rPr>
          <w:rFonts w:ascii="Times New Roman" w:hAnsi="Times New Roman"/>
          <w:spacing w:val="-3"/>
        </w:rPr>
      </w:pPr>
      <w:r>
        <w:rPr>
          <w:rFonts w:ascii="Times New Roman" w:hAnsi="Times New Roman"/>
          <w:spacing w:val="-3"/>
        </w:rPr>
        <w:t>Delete the first paragraph of Subsection 609.03.2.6 and insert the following paragraph:</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 w:val="left" w:pos="0"/>
          <w:tab w:val="left" w:pos="720"/>
        </w:tabs>
        <w:suppressAutoHyphens/>
        <w:ind w:left="1440" w:hanging="1440"/>
        <w:jc w:val="both"/>
        <w:rPr>
          <w:rFonts w:ascii="Times New Roman" w:hAnsi="Times New Roman"/>
          <w:spacing w:val="-3"/>
        </w:rPr>
      </w:pPr>
      <w:r>
        <w:rPr>
          <w:rFonts w:ascii="Times New Roman" w:hAnsi="Times New Roman"/>
          <w:spacing w:val="-3"/>
        </w:rPr>
        <w:lastRenderedPageBreak/>
        <w:tab/>
      </w:r>
      <w:r>
        <w:rPr>
          <w:rFonts w:ascii="Times New Roman" w:hAnsi="Times New Roman"/>
          <w:spacing w:val="-3"/>
        </w:rPr>
        <w:tab/>
        <w:t>Concrete shall be cured for at least 72 hours.  Curing shall be as set out in 501.03.20.1 or by other methods approved by the City Engineer or his authorized representative.</w:t>
      </w:r>
    </w:p>
    <w:p w:rsidR="003B77F0" w:rsidRDefault="003B77F0">
      <w:pPr>
        <w:tabs>
          <w:tab w:val="left" w:pos="-720"/>
        </w:tabs>
        <w:suppressAutoHyphens/>
        <w:ind w:left="1440"/>
        <w:jc w:val="both"/>
        <w:rPr>
          <w:rFonts w:ascii="Times New Roman" w:hAnsi="Times New Roman"/>
          <w:spacing w:val="-3"/>
        </w:rPr>
      </w:pPr>
    </w:p>
    <w:p w:rsidR="003B77F0" w:rsidRDefault="003B77F0">
      <w:pPr>
        <w:pStyle w:val="Heading1"/>
      </w:pPr>
      <w:r>
        <w:t>Subsection 609.04 - Method of Measurement</w:t>
      </w:r>
    </w:p>
    <w:p w:rsidR="003B77F0" w:rsidRDefault="003B77F0">
      <w:pPr>
        <w:tabs>
          <w:tab w:val="left" w:pos="-720"/>
        </w:tabs>
        <w:suppressAutoHyphens/>
        <w:jc w:val="both"/>
        <w:rPr>
          <w:rFonts w:ascii="Times New Roman" w:hAnsi="Times New Roman"/>
          <w:spacing w:val="-3"/>
        </w:rPr>
      </w:pPr>
    </w:p>
    <w:p w:rsidR="003B77F0" w:rsidRDefault="003B77F0">
      <w:pPr>
        <w:pStyle w:val="BodyText2"/>
      </w:pPr>
      <w:r>
        <w:t>Delete the last sentence of the first paragraph of Subsection 609.04 and insert the following:</w:t>
      </w:r>
    </w:p>
    <w:p w:rsidR="003B77F0" w:rsidRDefault="003B77F0">
      <w:pPr>
        <w:tabs>
          <w:tab w:val="left" w:pos="-720"/>
        </w:tabs>
        <w:suppressAutoHyphens/>
        <w:ind w:left="1440"/>
        <w:jc w:val="both"/>
        <w:rPr>
          <w:rFonts w:ascii="Times New Roman" w:hAnsi="Times New Roman"/>
          <w:spacing w:val="-3"/>
        </w:rPr>
      </w:pPr>
    </w:p>
    <w:p w:rsidR="003B77F0" w:rsidRDefault="003B77F0">
      <w:pPr>
        <w:tabs>
          <w:tab w:val="left" w:pos="-720"/>
          <w:tab w:val="left" w:pos="0"/>
          <w:tab w:val="left" w:pos="720"/>
        </w:tabs>
        <w:suppressAutoHyphens/>
        <w:ind w:left="1440" w:hanging="1440"/>
        <w:jc w:val="both"/>
        <w:rPr>
          <w:rFonts w:ascii="Times New Roman" w:hAnsi="Times New Roman"/>
          <w:spacing w:val="-3"/>
        </w:rPr>
      </w:pPr>
      <w:r>
        <w:rPr>
          <w:rFonts w:ascii="Times New Roman" w:hAnsi="Times New Roman"/>
          <w:spacing w:val="-3"/>
        </w:rPr>
        <w:tab/>
      </w:r>
      <w:r>
        <w:rPr>
          <w:rFonts w:ascii="Times New Roman" w:hAnsi="Times New Roman"/>
          <w:spacing w:val="-3"/>
        </w:rPr>
        <w:tab/>
        <w:t>No deduction will be made for curb and gutter running the length of driveways.</w:t>
      </w:r>
    </w:p>
    <w:p w:rsidR="003B77F0" w:rsidRDefault="003B77F0">
      <w:pPr>
        <w:tabs>
          <w:tab w:val="left" w:pos="-720"/>
        </w:tabs>
        <w:suppressAutoHyphens/>
        <w:ind w:left="1440"/>
        <w:jc w:val="both"/>
        <w:rPr>
          <w:rFonts w:ascii="Times New Roman" w:hAnsi="Times New Roman"/>
          <w:spacing w:val="-3"/>
        </w:rPr>
      </w:pPr>
    </w:p>
    <w:p w:rsidR="003B77F0" w:rsidRDefault="003B77F0">
      <w:pPr>
        <w:pStyle w:val="BodyText2"/>
      </w:pPr>
      <w:r>
        <w:t>Delete the last two paragraphs of Subsection 609.04 and add the following paragraphs:</w:t>
      </w:r>
    </w:p>
    <w:p w:rsidR="003B77F0" w:rsidRDefault="003B77F0">
      <w:pPr>
        <w:tabs>
          <w:tab w:val="left" w:pos="-720"/>
        </w:tabs>
        <w:suppressAutoHyphens/>
        <w:jc w:val="both"/>
        <w:rPr>
          <w:rFonts w:ascii="Times New Roman" w:hAnsi="Times New Roman"/>
          <w:spacing w:val="-3"/>
        </w:rPr>
      </w:pPr>
    </w:p>
    <w:p w:rsidR="003B77F0" w:rsidRDefault="003B77F0" w:rsidP="00890343">
      <w:pPr>
        <w:pStyle w:val="BodyTextIndent2"/>
      </w:pPr>
      <w:r>
        <w:t>Deduction in length will be made for drainage structures such as catch basins and inlets installed in the curbing.</w:t>
      </w:r>
    </w:p>
    <w:p w:rsidR="003B77F0" w:rsidRDefault="003B77F0">
      <w:pPr>
        <w:tabs>
          <w:tab w:val="left" w:pos="-720"/>
        </w:tabs>
        <w:suppressAutoHyphens/>
        <w:jc w:val="both"/>
        <w:rPr>
          <w:rFonts w:ascii="Times New Roman" w:hAnsi="Times New Roman"/>
          <w:spacing w:val="-3"/>
        </w:rPr>
      </w:pPr>
    </w:p>
    <w:p w:rsidR="003B77F0" w:rsidRDefault="00860E1E">
      <w:pPr>
        <w:tabs>
          <w:tab w:val="left" w:pos="-720"/>
          <w:tab w:val="left" w:pos="0"/>
          <w:tab w:val="left" w:pos="720"/>
        </w:tabs>
        <w:suppressAutoHyphens/>
        <w:ind w:left="1440"/>
        <w:jc w:val="both"/>
        <w:rPr>
          <w:rFonts w:ascii="Times New Roman" w:hAnsi="Times New Roman"/>
          <w:spacing w:val="-3"/>
        </w:rPr>
      </w:pPr>
      <w:r>
        <w:rPr>
          <w:rFonts w:ascii="Times New Roman" w:hAnsi="Times New Roman"/>
          <w:spacing w:val="-3"/>
        </w:rPr>
        <w:t>Excavation, b</w:t>
      </w:r>
      <w:r w:rsidR="00890343">
        <w:rPr>
          <w:rFonts w:ascii="Times New Roman" w:hAnsi="Times New Roman"/>
          <w:spacing w:val="-3"/>
        </w:rPr>
        <w:t>ackfill, e</w:t>
      </w:r>
      <w:r w:rsidR="003B77F0">
        <w:rPr>
          <w:rFonts w:ascii="Times New Roman" w:hAnsi="Times New Roman"/>
          <w:spacing w:val="-3"/>
        </w:rPr>
        <w:t>xpansion joint material, curb stamping and other related miscellaneous items will not be measured for separate payment.  The cost thereof shall be absorbed in the unit prices bid for other items.</w:t>
      </w:r>
    </w:p>
    <w:p w:rsidR="003B77F0" w:rsidRDefault="003B77F0">
      <w:pPr>
        <w:tabs>
          <w:tab w:val="left" w:pos="-720"/>
        </w:tabs>
        <w:suppressAutoHyphens/>
        <w:jc w:val="both"/>
        <w:rPr>
          <w:rFonts w:ascii="Times New Roman" w:hAnsi="Times New Roman"/>
          <w:spacing w:val="-3"/>
        </w:rPr>
      </w:pPr>
    </w:p>
    <w:p w:rsidR="003B77F0" w:rsidRDefault="003B77F0">
      <w:pPr>
        <w:pStyle w:val="Heading1"/>
      </w:pPr>
      <w:r>
        <w:t>Subsection 609.05 - Basis of Payment</w:t>
      </w:r>
    </w:p>
    <w:p w:rsidR="003B77F0" w:rsidRDefault="003B77F0" w:rsidP="00890343">
      <w:pPr>
        <w:tabs>
          <w:tab w:val="left" w:pos="-720"/>
        </w:tabs>
        <w:suppressAutoHyphens/>
        <w:jc w:val="both"/>
        <w:rPr>
          <w:rFonts w:ascii="Times New Roman" w:hAnsi="Times New Roman"/>
          <w:spacing w:val="-3"/>
        </w:rPr>
      </w:pPr>
    </w:p>
    <w:p w:rsidR="003B77F0" w:rsidRDefault="003B77F0">
      <w:pPr>
        <w:pStyle w:val="BodyText2"/>
      </w:pPr>
      <w:r>
        <w:t>Following the phrase "Payment will be made under" add the following pay item number:</w:t>
      </w:r>
    </w:p>
    <w:p w:rsidR="003B77F0" w:rsidRDefault="003B77F0">
      <w:pPr>
        <w:tabs>
          <w:tab w:val="left" w:pos="-720"/>
        </w:tabs>
        <w:suppressAutoHyphens/>
        <w:jc w:val="both"/>
        <w:rPr>
          <w:rFonts w:ascii="Times New Roman" w:hAnsi="Times New Roman"/>
          <w:spacing w:val="-3"/>
        </w:rPr>
      </w:pPr>
    </w:p>
    <w:p w:rsidR="003B77F0" w:rsidRDefault="003B77F0">
      <w:pPr>
        <w:tabs>
          <w:tab w:val="left" w:pos="-720"/>
          <w:tab w:val="left" w:pos="0"/>
          <w:tab w:val="left" w:pos="720"/>
        </w:tabs>
        <w:suppressAutoHyphens/>
        <w:ind w:left="1440"/>
        <w:jc w:val="both"/>
        <w:rPr>
          <w:rFonts w:ascii="Times New Roman" w:hAnsi="Times New Roman"/>
          <w:spacing w:val="-3"/>
        </w:rPr>
      </w:pPr>
      <w:r>
        <w:rPr>
          <w:rFonts w:ascii="Times New Roman" w:hAnsi="Times New Roman"/>
          <w:spacing w:val="-3"/>
        </w:rPr>
        <w:t xml:space="preserve">907-609-F:  Rolled Type Concrete Curb and Gutter              </w:t>
      </w:r>
      <w:r>
        <w:rPr>
          <w:rFonts w:ascii="Times New Roman" w:hAnsi="Times New Roman"/>
          <w:spacing w:val="-3"/>
        </w:rPr>
        <w:tab/>
        <w:t>-</w:t>
      </w:r>
      <w:r w:rsidR="0057062D">
        <w:rPr>
          <w:rFonts w:ascii="Times New Roman" w:hAnsi="Times New Roman"/>
          <w:spacing w:val="-3"/>
        </w:rPr>
        <w:t xml:space="preserve"> </w:t>
      </w:r>
      <w:r>
        <w:rPr>
          <w:rFonts w:ascii="Times New Roman" w:hAnsi="Times New Roman"/>
          <w:spacing w:val="-3"/>
        </w:rPr>
        <w:t>per linear foot</w:t>
      </w:r>
    </w:p>
    <w:sectPr w:rsidR="003B77F0">
      <w:headerReference w:type="default" r:id="rId9"/>
      <w:footerReference w:type="default" r:id="rId10"/>
      <w:headerReference w:type="first" r:id="rId11"/>
      <w:footerReference w:type="first" r:id="rId12"/>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F6A" w:rsidRDefault="006E7F6A">
      <w:pPr>
        <w:spacing w:line="20" w:lineRule="exact"/>
      </w:pPr>
    </w:p>
  </w:endnote>
  <w:endnote w:type="continuationSeparator" w:id="0">
    <w:p w:rsidR="006E7F6A" w:rsidRDefault="006E7F6A">
      <w:r>
        <w:t xml:space="preserve"> </w:t>
      </w:r>
    </w:p>
  </w:endnote>
  <w:endnote w:type="continuationNotice" w:id="1">
    <w:p w:rsidR="006E7F6A" w:rsidRDefault="006E7F6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F0" w:rsidRDefault="003B77F0">
    <w:pPr>
      <w:pStyle w:val="Footer"/>
      <w:jc w:val="center"/>
      <w:rPr>
        <w:rFonts w:ascii="Times New Roman" w:hAnsi="Times New Roman"/>
        <w:b/>
      </w:rPr>
    </w:pPr>
    <w:r>
      <w:rPr>
        <w:rFonts w:ascii="Times New Roman" w:hAnsi="Times New Roman"/>
        <w:b/>
      </w:rPr>
      <w:t>______________________________________________________________________________</w:t>
    </w:r>
  </w:p>
  <w:p w:rsidR="003B77F0" w:rsidRDefault="003B77F0">
    <w:pPr>
      <w:pStyle w:val="Footer"/>
      <w:jc w:val="center"/>
      <w:rPr>
        <w:rFonts w:ascii="Times New Roman" w:hAnsi="Times New Roman"/>
      </w:rPr>
    </w:pPr>
    <w:r>
      <w:rPr>
        <w:rFonts w:ascii="Times New Roman" w:hAnsi="Times New Roman"/>
      </w:rPr>
      <w:t>Curb and Gutter</w:t>
    </w:r>
  </w:p>
  <w:p w:rsidR="003B77F0" w:rsidRDefault="003B77F0">
    <w:pPr>
      <w:pStyle w:val="Footer"/>
      <w:jc w:val="center"/>
      <w:rPr>
        <w:rFonts w:ascii="Times New Roman" w:hAnsi="Times New Roman"/>
      </w:rPr>
    </w:pPr>
    <w:r>
      <w:rPr>
        <w:rFonts w:ascii="Times New Roman" w:hAnsi="Times New Roman"/>
      </w:rPr>
      <w:t>Section 907-609-1</w:t>
    </w:r>
  </w:p>
  <w:p w:rsidR="003B77F0" w:rsidRDefault="003B77F0">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50DBE">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50DBE">
      <w:rPr>
        <w:rStyle w:val="PageNumber"/>
        <w:rFonts w:ascii="Times New Roman" w:hAnsi="Times New Roman"/>
        <w:noProof/>
      </w:rPr>
      <w:t>2</w:t>
    </w:r>
    <w:r>
      <w:rPr>
        <w:rStyle w:val="PageNumber"/>
        <w:rFonts w:ascii="Times New Roman" w:hAnsi="Times New Roman"/>
      </w:rPr>
      <w:fldChar w:fldCharType="end"/>
    </w:r>
  </w:p>
  <w:p w:rsidR="003B77F0" w:rsidRDefault="003B77F0">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F0" w:rsidRDefault="003B77F0">
    <w:pPr>
      <w:pStyle w:val="Footer"/>
      <w:jc w:val="center"/>
      <w:rPr>
        <w:rFonts w:ascii="Times New Roman" w:hAnsi="Times New Roman"/>
        <w:b/>
      </w:rPr>
    </w:pPr>
    <w:r>
      <w:rPr>
        <w:rFonts w:ascii="Times New Roman" w:hAnsi="Times New Roman"/>
        <w:b/>
      </w:rPr>
      <w:t>______________________________________________________________________________</w:t>
    </w:r>
  </w:p>
  <w:p w:rsidR="003B77F0" w:rsidRDefault="003B77F0">
    <w:pPr>
      <w:pStyle w:val="Footer"/>
      <w:jc w:val="center"/>
      <w:rPr>
        <w:rFonts w:ascii="Times New Roman" w:hAnsi="Times New Roman"/>
      </w:rPr>
    </w:pPr>
    <w:r>
      <w:rPr>
        <w:rFonts w:ascii="Times New Roman" w:hAnsi="Times New Roman"/>
      </w:rPr>
      <w:t>Curb and Gutter</w:t>
    </w:r>
  </w:p>
  <w:p w:rsidR="003B77F0" w:rsidRDefault="003B77F0">
    <w:pPr>
      <w:pStyle w:val="Footer"/>
      <w:jc w:val="center"/>
      <w:rPr>
        <w:rFonts w:ascii="Times New Roman" w:hAnsi="Times New Roman"/>
      </w:rPr>
    </w:pPr>
    <w:r>
      <w:rPr>
        <w:rFonts w:ascii="Times New Roman" w:hAnsi="Times New Roman"/>
      </w:rPr>
      <w:t>Section 907-609-1</w:t>
    </w:r>
  </w:p>
  <w:p w:rsidR="003B77F0" w:rsidRDefault="003B77F0">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50DBE">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50DBE">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F6A" w:rsidRDefault="006E7F6A">
      <w:r>
        <w:separator/>
      </w:r>
    </w:p>
  </w:footnote>
  <w:footnote w:type="continuationSeparator" w:id="0">
    <w:p w:rsidR="006E7F6A" w:rsidRDefault="006E7F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F0" w:rsidRDefault="003B77F0">
    <w:pPr>
      <w:pStyle w:val="Header"/>
      <w:rPr>
        <w:rFonts w:ascii="Times New Roman" w:hAnsi="Times New Roman"/>
      </w:rPr>
    </w:pPr>
    <w:r>
      <w:rPr>
        <w:rFonts w:ascii="Times New Roman" w:hAnsi="Times New Roman"/>
      </w:rPr>
      <w:t>SPECIAL PROVISION 907-609-1 (Continued)</w:t>
    </w:r>
  </w:p>
  <w:p w:rsidR="003B77F0" w:rsidRDefault="003B77F0">
    <w:pPr>
      <w:pStyle w:val="Header"/>
      <w:rPr>
        <w:rFonts w:ascii="Times New Roman" w:hAnsi="Times New Roman"/>
        <w:b/>
      </w:rPr>
    </w:pPr>
    <w:r>
      <w:rPr>
        <w:rFonts w:ascii="Times New Roman" w:hAnsi="Times New Roman"/>
        <w:b/>
      </w:rPr>
      <w:t>______________________________________________________________________________</w:t>
    </w:r>
  </w:p>
  <w:p w:rsidR="003B77F0" w:rsidRDefault="003B77F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B77F0" w:rsidRDefault="003B77F0">
    <w:pPr>
      <w:pStyle w:val="Header"/>
      <w:rPr>
        <w:rFonts w:ascii="Times New Roman" w:hAnsi="Times New Roman"/>
        <w:b/>
      </w:rPr>
    </w:pPr>
    <w:r>
      <w:rPr>
        <w:rFonts w:ascii="Times New Roman" w:hAnsi="Times New Roman"/>
        <w:b/>
      </w:rPr>
      <w:t>______________________________________________________________________________</w:t>
    </w:r>
  </w:p>
  <w:p w:rsidR="003B77F0" w:rsidRDefault="003B77F0">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556"/>
    <w:rsid w:val="00001F56"/>
    <w:rsid w:val="000A7D7D"/>
    <w:rsid w:val="003B77F0"/>
    <w:rsid w:val="003C199A"/>
    <w:rsid w:val="004438E1"/>
    <w:rsid w:val="0048621B"/>
    <w:rsid w:val="00556C60"/>
    <w:rsid w:val="0057062D"/>
    <w:rsid w:val="006C5EB4"/>
    <w:rsid w:val="006E7F6A"/>
    <w:rsid w:val="007A071F"/>
    <w:rsid w:val="00860E1E"/>
    <w:rsid w:val="00881556"/>
    <w:rsid w:val="00890343"/>
    <w:rsid w:val="00A50DBE"/>
    <w:rsid w:val="00A72C7A"/>
    <w:rsid w:val="00C1769C"/>
    <w:rsid w:val="00C9342A"/>
    <w:rsid w:val="00E2409B"/>
    <w:rsid w:val="00EC474A"/>
    <w:rsid w:val="00EC6C24"/>
    <w:rsid w:val="00EE27C3"/>
    <w:rsid w:val="00EE2A0D"/>
    <w:rsid w:val="00FD37A2"/>
    <w:rsid w:val="00FF0F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2336A3"/>
  <w15:docId w15:val="{BBBEB063-5137-4BB0-A8D9-9652E16DD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spacing w:val="-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2">
    <w:name w:val="Body Text 2"/>
    <w:basedOn w:val="Normal"/>
    <w:pPr>
      <w:tabs>
        <w:tab w:val="left" w:pos="-720"/>
        <w:tab w:val="left" w:pos="0"/>
      </w:tabs>
      <w:suppressAutoHyphens/>
      <w:ind w:left="720"/>
      <w:jc w:val="both"/>
    </w:pPr>
    <w:rPr>
      <w:rFonts w:ascii="Times New Roman" w:hAnsi="Times New Roman"/>
      <w:spacing w:val="-3"/>
    </w:rPr>
  </w:style>
  <w:style w:type="paragraph" w:styleId="BodyTextIndent2">
    <w:name w:val="Body Text Indent 2"/>
    <w:basedOn w:val="Normal"/>
    <w:pPr>
      <w:tabs>
        <w:tab w:val="left" w:pos="-720"/>
        <w:tab w:val="left" w:pos="0"/>
        <w:tab w:val="left" w:pos="720"/>
      </w:tabs>
      <w:suppressAutoHyphens/>
      <w:ind w:left="1440"/>
      <w:jc w:val="both"/>
    </w:pPr>
    <w:rPr>
      <w:rFonts w:ascii="Times New Roman" w:hAnsi="Times New Roman"/>
      <w:spacing w:val="-3"/>
    </w:rPr>
  </w:style>
  <w:style w:type="paragraph" w:styleId="BalloonText">
    <w:name w:val="Balloon Text"/>
    <w:basedOn w:val="Normal"/>
    <w:link w:val="BalloonTextChar"/>
    <w:rsid w:val="00890343"/>
    <w:rPr>
      <w:rFonts w:ascii="Tahoma" w:hAnsi="Tahoma" w:cs="Tahoma"/>
      <w:sz w:val="16"/>
      <w:szCs w:val="16"/>
    </w:rPr>
  </w:style>
  <w:style w:type="character" w:customStyle="1" w:styleId="BalloonTextChar">
    <w:name w:val="Balloon Text Char"/>
    <w:basedOn w:val="DefaultParagraphFont"/>
    <w:link w:val="BalloonText"/>
    <w:rsid w:val="008903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A34A115F-30E2-4179-B8DD-A27353DEE6B8}">
  <ds:schemaRefs>
    <ds:schemaRef ds:uri="http://schemas.microsoft.com/sharepoint/v3/contenttype/forms"/>
  </ds:schemaRefs>
</ds:datastoreItem>
</file>

<file path=customXml/itemProps2.xml><?xml version="1.0" encoding="utf-8"?>
<ds:datastoreItem xmlns:ds="http://schemas.openxmlformats.org/officeDocument/2006/customXml" ds:itemID="{2DA53019-E761-42B1-B8E4-6DC59C771166}">
  <ds:schemaRefs>
    <ds:schemaRef ds:uri="http://schemas.openxmlformats.org/package/2006/metadata/core-properties"/>
    <ds:schemaRef ds:uri="http://purl.org/dc/dcmitype/"/>
    <ds:schemaRef ds:uri="http://schemas.microsoft.com/office/2006/metadata/properties"/>
    <ds:schemaRef ds:uri="http://schemas.microsoft.com/office/2006/documentManagement/types"/>
    <ds:schemaRef ds:uri="http://purl.org/dc/terms/"/>
    <ds:schemaRef ds:uri="http://www.w3.org/XML/1998/namespace"/>
    <ds:schemaRef ds:uri="http://purl.org/dc/elements/1.1/"/>
  </ds:schemaRefs>
</ds:datastoreItem>
</file>

<file path=customXml/itemProps3.xml><?xml version="1.0" encoding="utf-8"?>
<ds:datastoreItem xmlns:ds="http://schemas.openxmlformats.org/officeDocument/2006/customXml" ds:itemID="{5D13BD24-EF41-4480-8209-F857984CAB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436</Words>
  <Characters>2379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4</cp:revision>
  <cp:lastPrinted>2010-09-22T18:46:00Z</cp:lastPrinted>
  <dcterms:created xsi:type="dcterms:W3CDTF">2017-06-29T13:46:00Z</dcterms:created>
  <dcterms:modified xsi:type="dcterms:W3CDTF">2017-07-07T21:32:00Z</dcterms:modified>
</cp:coreProperties>
</file>